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4DD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Mortgages 15YR vs.30YR</w:t>
      </w: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A33" w:rsidRDefault="00C65A33" w:rsidP="00C65A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Mortgages 15YR vs.30YR</w:t>
      </w:r>
    </w:p>
    <w:p w:rsidR="00C06BC2" w:rsidRPr="00C65A33" w:rsidRDefault="00C06BC2" w:rsidP="00C65A3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A33">
        <w:rPr>
          <w:rFonts w:ascii="Times New Roman" w:hAnsi="Times New Roman" w:cs="Times New Roman"/>
          <w:b/>
          <w:sz w:val="24"/>
          <w:szCs w:val="24"/>
        </w:rPr>
        <w:t>Q1a</w:t>
      </w:r>
    </w:p>
    <w:p w:rsidR="00110B62" w:rsidRPr="00C65A33" w:rsidRDefault="00110B62" w:rsidP="00C65A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>Excel function PMT is used in computing the monthly payments as presented in the table below</w:t>
      </w:r>
    </w:p>
    <w:tbl>
      <w:tblPr>
        <w:tblW w:w="7120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320"/>
      </w:tblGrid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Years payment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80177F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PMT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110B6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Mortgage (Loan)</w:t>
            </w:r>
            <w:r w:rsidR="00C06BC2"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rate (rate)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0.00375</w:t>
            </w: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80177F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Compounding periods per year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 (PMT)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$2,294.98 </w:t>
            </w:r>
          </w:p>
        </w:tc>
      </w:tr>
      <w:tr w:rsidR="00C06BC2" w:rsidRPr="00C06BC2" w:rsidTr="00C65A3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5460C8" w:rsidRDefault="00C06BC2" w:rsidP="005460C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C8">
        <w:rPr>
          <w:rFonts w:ascii="Times New Roman" w:hAnsi="Times New Roman" w:cs="Times New Roman"/>
          <w:b/>
          <w:sz w:val="24"/>
          <w:szCs w:val="24"/>
        </w:rPr>
        <w:t>Q1b</w:t>
      </w:r>
    </w:p>
    <w:p w:rsidR="00110B62" w:rsidRPr="00C65A33" w:rsidRDefault="00110B62" w:rsidP="005460C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>In a thirty year period, computations are a indicated below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320"/>
      </w:tblGrid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30 years payment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PMT (rate,</w:t>
            </w:r>
            <w:r w:rsidR="0054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nper</w:t>
            </w:r>
            <w:proofErr w:type="spellEnd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,-</w:t>
            </w:r>
            <w:proofErr w:type="spellStart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</w:t>
            </w:r>
            <w:proofErr w:type="spellEnd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 amount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rate (rate)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0.00375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Periods (</w:t>
            </w:r>
            <w:proofErr w:type="spellStart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nper</w:t>
            </w:r>
            <w:proofErr w:type="spellEnd"/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Compounding periods per year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5460C8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 (PV</w:t>
            </w:r>
            <w:r w:rsidR="00C06BC2"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$1,520.06 </w:t>
            </w:r>
          </w:p>
        </w:tc>
      </w:tr>
    </w:tbl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5460C8" w:rsidRDefault="00C06BC2" w:rsidP="005460C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C8">
        <w:rPr>
          <w:rFonts w:ascii="Times New Roman" w:hAnsi="Times New Roman" w:cs="Times New Roman"/>
          <w:b/>
          <w:sz w:val="24"/>
          <w:szCs w:val="24"/>
        </w:rPr>
        <w:t>Q1c</w:t>
      </w:r>
    </w:p>
    <w:p w:rsidR="00110B62" w:rsidRPr="00C65A33" w:rsidRDefault="00110B62" w:rsidP="005460C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>The total interest paid is computed by subtracting the principal from total payments as presented below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978"/>
        <w:gridCol w:w="222"/>
        <w:gridCol w:w="1766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Computation of total payments over the 15 years period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$2,294.98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$413,096.38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principal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interest paid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$113,096.38 </w:t>
            </w:r>
          </w:p>
        </w:tc>
      </w:tr>
    </w:tbl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1DB4" w:rsidRPr="008E70CD" w:rsidRDefault="00BA1DB4" w:rsidP="008E70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CD">
        <w:rPr>
          <w:rFonts w:ascii="Times New Roman" w:hAnsi="Times New Roman" w:cs="Times New Roman"/>
          <w:b/>
          <w:sz w:val="24"/>
          <w:szCs w:val="24"/>
        </w:rPr>
        <w:t>Q1d</w:t>
      </w:r>
    </w:p>
    <w:p w:rsidR="00BA1DB4" w:rsidRPr="00C65A33" w:rsidRDefault="00EC4065" w:rsidP="008E70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>Total interest paid is computed by subtracting the principal from total payments as indicated below</w:t>
      </w:r>
    </w:p>
    <w:tbl>
      <w:tblPr>
        <w:tblW w:w="7478" w:type="dxa"/>
        <w:tblInd w:w="93" w:type="dxa"/>
        <w:tblLook w:val="04A0" w:firstRow="1" w:lastRow="0" w:firstColumn="1" w:lastColumn="0" w:noHBand="0" w:noVBand="1"/>
      </w:tblPr>
      <w:tblGrid>
        <w:gridCol w:w="1163"/>
        <w:gridCol w:w="1163"/>
        <w:gridCol w:w="2451"/>
        <w:gridCol w:w="1225"/>
        <w:gridCol w:w="1476"/>
      </w:tblGrid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Computation of total payments over the 30 years </w:t>
            </w: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period </w:t>
            </w:r>
          </w:p>
        </w:tc>
      </w:tr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$1,520.06 </w:t>
            </w:r>
          </w:p>
        </w:tc>
      </w:tr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$360.00 </w:t>
            </w:r>
          </w:p>
        </w:tc>
      </w:tr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547220.1346</w:t>
            </w:r>
          </w:p>
        </w:tc>
      </w:tr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principal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BA1DB4" w:rsidRPr="00BA1DB4" w:rsidTr="00304A15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interest paid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247220.1346</w:t>
            </w:r>
          </w:p>
        </w:tc>
      </w:tr>
    </w:tbl>
    <w:p w:rsidR="00BA1DB4" w:rsidRPr="00C65A33" w:rsidRDefault="00BA1DB4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1DB4" w:rsidRPr="00304A15" w:rsidRDefault="00BA1DB4" w:rsidP="00304A1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15">
        <w:rPr>
          <w:rFonts w:ascii="Times New Roman" w:hAnsi="Times New Roman" w:cs="Times New Roman"/>
          <w:b/>
          <w:sz w:val="24"/>
          <w:szCs w:val="24"/>
        </w:rPr>
        <w:t>Q2a</w:t>
      </w:r>
    </w:p>
    <w:p w:rsidR="0058694A" w:rsidRPr="00C65A33" w:rsidRDefault="0058694A" w:rsidP="00304A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 xml:space="preserve">Mortgage amount is computed using excel function </w:t>
      </w:r>
      <w:r w:rsidR="00507396" w:rsidRPr="00C65A33">
        <w:rPr>
          <w:rFonts w:ascii="Times New Roman" w:hAnsi="Times New Roman" w:cs="Times New Roman"/>
          <w:sz w:val="24"/>
          <w:szCs w:val="24"/>
        </w:rPr>
        <w:t xml:space="preserve">PV as indicated </w:t>
      </w:r>
      <w:r w:rsidRPr="00C65A33">
        <w:rPr>
          <w:rFonts w:ascii="Times New Roman" w:hAnsi="Times New Roman" w:cs="Times New Roman"/>
          <w:sz w:val="24"/>
          <w:szCs w:val="24"/>
        </w:rPr>
        <w:t>below for the 15 years period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127"/>
        <w:gridCol w:w="222"/>
        <w:gridCol w:w="1160"/>
        <w:gridCol w:w="1416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110B6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Mortgage</w:t>
            </w:r>
            <w:r w:rsidR="00BA1DB4"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(loan amount)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$235,296.18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58694A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1D3394"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0.38%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80177F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payments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BA1DB4" w:rsidRPr="00C65A33" w:rsidRDefault="00BA1DB4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F099C" w:rsidRDefault="004F099C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9C" w:rsidRDefault="004F099C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9C" w:rsidRDefault="004F099C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9C" w:rsidRDefault="004F099C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9C" w:rsidRDefault="004F099C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DB4" w:rsidRPr="00C9637E" w:rsidRDefault="00BA1DB4" w:rsidP="00C963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7E">
        <w:rPr>
          <w:rFonts w:ascii="Times New Roman" w:hAnsi="Times New Roman" w:cs="Times New Roman"/>
          <w:b/>
          <w:sz w:val="24"/>
          <w:szCs w:val="24"/>
        </w:rPr>
        <w:lastRenderedPageBreak/>
        <w:t>Q2b</w:t>
      </w:r>
    </w:p>
    <w:p w:rsidR="00507396" w:rsidRPr="00C65A33" w:rsidRDefault="00507396" w:rsidP="00C9637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 xml:space="preserve">Mortgage amount is computed using excel function PV as indicated </w:t>
      </w:r>
      <w:r w:rsidRPr="00C65A33">
        <w:rPr>
          <w:rFonts w:ascii="Times New Roman" w:hAnsi="Times New Roman" w:cs="Times New Roman"/>
          <w:sz w:val="24"/>
          <w:szCs w:val="24"/>
        </w:rPr>
        <w:t>below for the 30</w:t>
      </w:r>
      <w:r w:rsidRPr="00C65A33">
        <w:rPr>
          <w:rFonts w:ascii="Times New Roman" w:hAnsi="Times New Roman" w:cs="Times New Roman"/>
          <w:sz w:val="24"/>
          <w:szCs w:val="24"/>
        </w:rPr>
        <w:t xml:space="preserve"> years period</w:t>
      </w:r>
    </w:p>
    <w:tbl>
      <w:tblPr>
        <w:tblW w:w="7245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127"/>
        <w:gridCol w:w="222"/>
        <w:gridCol w:w="1160"/>
        <w:gridCol w:w="1416"/>
      </w:tblGrid>
      <w:tr w:rsidR="00BA1DB4" w:rsidRPr="00BA1DB4" w:rsidTr="004F099C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110B62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Mortgage</w:t>
            </w:r>
            <w:r w:rsidR="00BA1DB4"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(loan amount)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$355,250.09 </w:t>
            </w:r>
          </w:p>
        </w:tc>
      </w:tr>
      <w:tr w:rsidR="00BA1DB4" w:rsidRPr="00BA1DB4" w:rsidTr="004F099C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BA1DB4" w:rsidRPr="00BA1DB4" w:rsidTr="004F099C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0.38%</w:t>
            </w:r>
          </w:p>
        </w:tc>
      </w:tr>
      <w:tr w:rsidR="00BA1DB4" w:rsidRPr="00BA1DB4" w:rsidTr="004F099C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80177F" w:rsidP="00C65A3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payments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C65A3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BA1DB4" w:rsidRPr="00C65A33" w:rsidRDefault="00BA1DB4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1DB4" w:rsidRPr="001B4562" w:rsidRDefault="000D572C" w:rsidP="004F09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62">
        <w:rPr>
          <w:rFonts w:ascii="Times New Roman" w:hAnsi="Times New Roman" w:cs="Times New Roman"/>
          <w:b/>
          <w:sz w:val="24"/>
          <w:szCs w:val="24"/>
        </w:rPr>
        <w:t>Q3</w:t>
      </w:r>
    </w:p>
    <w:p w:rsidR="000D572C" w:rsidRPr="00C65A33" w:rsidRDefault="000D572C" w:rsidP="004F099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>Based on the above analyses, it is clear that the attractiveness of the duration of payment period is dependent on the ability of the borrower</w:t>
      </w:r>
      <w:r w:rsidR="00C65A33" w:rsidRPr="00C65A33">
        <w:rPr>
          <w:rFonts w:ascii="Times New Roman" w:hAnsi="Times New Roman" w:cs="Times New Roman"/>
          <w:sz w:val="24"/>
          <w:szCs w:val="24"/>
        </w:rPr>
        <w:t xml:space="preserve"> (</w:t>
      </w:r>
      <w:r w:rsidR="00C65A33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Wa</w:t>
      </w:r>
      <w:r w:rsidR="00C65A33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rd, Screen, &amp; Khan, </w:t>
      </w:r>
      <w:r w:rsidR="00C65A33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2017).</w:t>
      </w:r>
      <w:r w:rsidRPr="00C65A33">
        <w:rPr>
          <w:rFonts w:ascii="Times New Roman" w:hAnsi="Times New Roman" w:cs="Times New Roman"/>
          <w:sz w:val="24"/>
          <w:szCs w:val="24"/>
        </w:rPr>
        <w:t xml:space="preserve"> </w:t>
      </w:r>
      <w:r w:rsidR="00730A6C" w:rsidRPr="00C65A33">
        <w:rPr>
          <w:rFonts w:ascii="Times New Roman" w:hAnsi="Times New Roman" w:cs="Times New Roman"/>
          <w:sz w:val="24"/>
          <w:szCs w:val="24"/>
        </w:rPr>
        <w:t xml:space="preserve"> People with high monthly income should opt for shorter duration of payments while those with low paying capability should seek longer payment period. Nevertheless, shorter periods are</w:t>
      </w:r>
      <w:r w:rsidR="008A0CBE" w:rsidRPr="00C65A33">
        <w:rPr>
          <w:rFonts w:ascii="Times New Roman" w:hAnsi="Times New Roman" w:cs="Times New Roman"/>
          <w:sz w:val="24"/>
          <w:szCs w:val="24"/>
        </w:rPr>
        <w:t xml:space="preserve"> </w:t>
      </w:r>
      <w:r w:rsidR="00730A6C" w:rsidRPr="00C65A33">
        <w:rPr>
          <w:rFonts w:ascii="Times New Roman" w:hAnsi="Times New Roman" w:cs="Times New Roman"/>
          <w:sz w:val="24"/>
          <w:szCs w:val="24"/>
        </w:rPr>
        <w:t>better among people with equal income levels as it attracts less interest.</w:t>
      </w:r>
    </w:p>
    <w:p w:rsidR="00C06BC2" w:rsidRPr="001B4562" w:rsidRDefault="008A0CBE" w:rsidP="001B45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62">
        <w:rPr>
          <w:rFonts w:ascii="Times New Roman" w:hAnsi="Times New Roman" w:cs="Times New Roman"/>
          <w:b/>
          <w:sz w:val="24"/>
          <w:szCs w:val="24"/>
        </w:rPr>
        <w:t>Q4</w:t>
      </w:r>
    </w:p>
    <w:p w:rsidR="008A0CBE" w:rsidRPr="00C65A33" w:rsidRDefault="005765DA" w:rsidP="001B45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 xml:space="preserve">Proverbs 22:7 indicates that </w:t>
      </w:r>
      <w:r w:rsidR="00C5188D" w:rsidRPr="00C65A33">
        <w:rPr>
          <w:rFonts w:ascii="Times New Roman" w:hAnsi="Times New Roman" w:cs="Times New Roman"/>
          <w:sz w:val="24"/>
          <w:szCs w:val="24"/>
        </w:rPr>
        <w:t>the rich rules over the poor. As a result, the borrower is the slave of the lender</w:t>
      </w:r>
      <w:r w:rsidR="00C65A33" w:rsidRPr="00C65A33">
        <w:rPr>
          <w:rFonts w:ascii="Times New Roman" w:hAnsi="Times New Roman" w:cs="Times New Roman"/>
          <w:sz w:val="24"/>
          <w:szCs w:val="24"/>
        </w:rPr>
        <w:t xml:space="preserve"> (</w:t>
      </w:r>
      <w:r w:rsidR="00C65A33" w:rsidRPr="00C65A33">
        <w:rPr>
          <w:rFonts w:ascii="Times New Roman" w:eastAsia="Arial Unicode MS" w:hAnsi="Times New Roman" w:cs="Times New Roman"/>
          <w:color w:val="000000"/>
          <w:sz w:val="24"/>
          <w:szCs w:val="24"/>
        </w:rPr>
        <w:t>Hill 2018, p32)</w:t>
      </w:r>
      <w:r w:rsidR="00C5188D" w:rsidRPr="00C65A33">
        <w:rPr>
          <w:rFonts w:ascii="Times New Roman" w:hAnsi="Times New Roman" w:cs="Times New Roman"/>
          <w:sz w:val="24"/>
          <w:szCs w:val="24"/>
        </w:rPr>
        <w:t xml:space="preserve">. </w:t>
      </w:r>
      <w:r w:rsidR="00822596" w:rsidRPr="00C65A33">
        <w:rPr>
          <w:rFonts w:ascii="Times New Roman" w:hAnsi="Times New Roman" w:cs="Times New Roman"/>
          <w:sz w:val="24"/>
          <w:szCs w:val="24"/>
        </w:rPr>
        <w:t xml:space="preserve"> When purchasing a home, it is thus important to ensure that the debt is not excessive in order to reduce the duration of slavery from the lender. </w:t>
      </w:r>
      <w:r w:rsidR="00626D1F" w:rsidRPr="00C65A33">
        <w:rPr>
          <w:rFonts w:ascii="Times New Roman" w:hAnsi="Times New Roman" w:cs="Times New Roman"/>
          <w:sz w:val="24"/>
          <w:szCs w:val="24"/>
        </w:rPr>
        <w:t xml:space="preserve"> The bible d</w:t>
      </w:r>
      <w:r w:rsidR="006B4F69">
        <w:rPr>
          <w:rFonts w:ascii="Times New Roman" w:hAnsi="Times New Roman" w:cs="Times New Roman"/>
          <w:sz w:val="24"/>
          <w:szCs w:val="24"/>
        </w:rPr>
        <w:t>oes not prohibit borrowing.  T</w:t>
      </w:r>
      <w:r w:rsidR="00626D1F" w:rsidRPr="00C65A33">
        <w:rPr>
          <w:rFonts w:ascii="Times New Roman" w:hAnsi="Times New Roman" w:cs="Times New Roman"/>
          <w:sz w:val="24"/>
          <w:szCs w:val="24"/>
        </w:rPr>
        <w:t xml:space="preserve">he bible does not indicate that borrowing is a sin, but it discourages it. </w:t>
      </w:r>
    </w:p>
    <w:p w:rsidR="00626D1F" w:rsidRPr="006B4F69" w:rsidRDefault="00626D1F" w:rsidP="00C65A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4F69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C65A33" w:rsidRPr="00C65A33" w:rsidRDefault="00C65A33" w:rsidP="00C65A33">
      <w:pPr>
        <w:pBdr>
          <w:bottom w:val="single" w:sz="6" w:space="1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6B4F69" w:rsidRDefault="00C65A33" w:rsidP="00C65A33">
      <w:pPr>
        <w:shd w:val="clear" w:color="auto" w:fill="FFFFFF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</w:rPr>
        <w:t>Hill, A. (2018). </w:t>
      </w:r>
      <w:r w:rsidRPr="00C65A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Just business: Christian ethics for the marketplace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Downers Grove, </w:t>
      </w:r>
      <w:r w:rsidR="006B4F69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Illinois: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5A33" w:rsidRPr="00C65A33" w:rsidRDefault="00C65A33" w:rsidP="006B4F69">
      <w:pPr>
        <w:shd w:val="clear" w:color="auto" w:fill="FFFFFF"/>
        <w:spacing w:after="0" w:line="48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IVP Academic, an imprint of </w:t>
      </w:r>
      <w:r w:rsidR="006B4F69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Intervarsity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Press</w:t>
      </w:r>
      <w:r w:rsidR="006B4F69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Retrieved from </w:t>
      </w:r>
    </w:p>
    <w:p w:rsidR="00C65A33" w:rsidRPr="00C65A33" w:rsidRDefault="006B4F69" w:rsidP="006B4F69">
      <w:pPr>
        <w:shd w:val="clear" w:color="auto" w:fill="FFFFFF"/>
        <w:spacing w:after="0" w:line="48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B4F69">
        <w:rPr>
          <w:rFonts w:ascii="Times New Roman" w:hAnsi="Times New Roman" w:cs="Times New Roman"/>
          <w:sz w:val="24"/>
          <w:szCs w:val="24"/>
        </w:rPr>
        <w:t>https://books.google.co.ke/books?id=-</w:t>
      </w:r>
      <w:r w:rsidR="00C65A33" w:rsidRPr="006B4F69">
        <w:rPr>
          <w:rFonts w:ascii="Times New Roman" w:hAnsi="Times New Roman" w:cs="Times New Roman"/>
          <w:sz w:val="24"/>
          <w:szCs w:val="24"/>
        </w:rPr>
        <w:t>lNHDwAAQBAJ&amp;pg=PA327&amp;dq=christian+business+2017&amp;hl=en&amp;sa=X&amp;ved=0ahUKEwjNmO7RlJHjAhXuQhUIHUm8AxoQ6AEILjAB#v=onepage&amp;q=christian%20business%202017&amp;f=false</w:t>
      </w:r>
    </w:p>
    <w:p w:rsidR="00C65A33" w:rsidRPr="00C65A33" w:rsidRDefault="00C65A33" w:rsidP="00C65A33">
      <w:pPr>
        <w:pBdr>
          <w:top w:val="single" w:sz="6" w:space="1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6B4F69" w:rsidRDefault="00C65A33" w:rsidP="00C65A33">
      <w:pPr>
        <w:spacing w:line="48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Ward, A., Screen, C., &amp; Khan, H. (2017).</w:t>
      </w:r>
      <w:proofErr w:type="gramEnd"/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5A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Oracle Business Intelligence Enterprise Edition 12c </w:t>
      </w:r>
      <w:r w:rsidR="006B4F6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C65A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65A33" w:rsidRPr="00C65A33" w:rsidRDefault="00C65A33" w:rsidP="006B4F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65A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Second Edition</w:t>
      </w:r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Birmingham: </w:t>
      </w:r>
      <w:r w:rsidR="00444FF9"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Packet</w:t>
      </w:r>
      <w:bookmarkStart w:id="0" w:name="_GoBack"/>
      <w:bookmarkEnd w:id="0"/>
      <w:r w:rsidRPr="00C65A3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Publishing</w:t>
      </w:r>
      <w:r w:rsidR="006B4F69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65A33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Pr="006B4F69">
        <w:rPr>
          <w:rFonts w:ascii="Times New Roman" w:hAnsi="Times New Roman" w:cs="Times New Roman"/>
          <w:sz w:val="24"/>
          <w:szCs w:val="24"/>
        </w:rPr>
        <w:t>https://books.google.co.ke/books?idUIwDwAAQBAJ&amp;printsec=frontcover&amp;dq=christian+business+2017&amp;hl=en&amp;sa=X&amp;ved=0ahUKEwjNmO7RlJHjAhXuQhUIHUm8AxoQ6AEIRDAF#v=onepage&amp;q=christian%20business%202017&amp;f=false</w:t>
      </w:r>
    </w:p>
    <w:p w:rsidR="00626D1F" w:rsidRPr="00C65A33" w:rsidRDefault="00C65A33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6BC2" w:rsidRPr="00C65A33" w:rsidRDefault="00C06BC2" w:rsidP="00C65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06BC2" w:rsidRPr="00C65A33" w:rsidSect="00C65A3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BF" w:rsidRDefault="000333BF" w:rsidP="00C65A33">
      <w:pPr>
        <w:spacing w:after="0" w:line="240" w:lineRule="auto"/>
      </w:pPr>
      <w:r>
        <w:separator/>
      </w:r>
    </w:p>
  </w:endnote>
  <w:endnote w:type="continuationSeparator" w:id="0">
    <w:p w:rsidR="000333BF" w:rsidRDefault="000333BF" w:rsidP="00C6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BF" w:rsidRDefault="000333BF" w:rsidP="00C65A33">
      <w:pPr>
        <w:spacing w:after="0" w:line="240" w:lineRule="auto"/>
      </w:pPr>
      <w:r>
        <w:separator/>
      </w:r>
    </w:p>
  </w:footnote>
  <w:footnote w:type="continuationSeparator" w:id="0">
    <w:p w:rsidR="000333BF" w:rsidRDefault="000333BF" w:rsidP="00C6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139210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A33" w:rsidRPr="00C65A33" w:rsidRDefault="00C65A33" w:rsidP="00C65A33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C65A3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MORTGAGES 15YR VS 30 YR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                                                                                               </w:t>
        </w:r>
        <w:r w:rsidRPr="00C65A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5A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5A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F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5A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65A33" w:rsidRPr="00C65A33" w:rsidRDefault="00C65A3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901542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A33" w:rsidRPr="00C65A33" w:rsidRDefault="00C65A33" w:rsidP="00C65A33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C65A33">
          <w:rPr>
            <w:rFonts w:ascii="Times New Roman" w:hAnsi="Times New Roman" w:cs="Times New Roman"/>
            <w:sz w:val="24"/>
            <w:szCs w:val="24"/>
          </w:rPr>
          <w:t xml:space="preserve">Running head: </w:t>
        </w:r>
        <w:r w:rsidRPr="00C65A3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MORTGAGES 15YR VS 30 YR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                                                                         </w:t>
        </w:r>
        <w:r w:rsidRPr="00C65A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5A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5A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FF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5A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65A33" w:rsidRPr="00C65A33" w:rsidRDefault="00C65A33" w:rsidP="00C65A33">
    <w:pPr>
      <w:pStyle w:val="Header"/>
      <w:rPr>
        <w:rFonts w:ascii="Times New Roman" w:hAnsi="Times New Roman" w:cs="Times New Roman"/>
        <w:sz w:val="24"/>
        <w:szCs w:val="24"/>
      </w:rPr>
    </w:pPr>
  </w:p>
  <w:p w:rsidR="00C65A33" w:rsidRDefault="00C65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7"/>
    <w:rsid w:val="000333BF"/>
    <w:rsid w:val="000D572C"/>
    <w:rsid w:val="00110B62"/>
    <w:rsid w:val="001A3EDB"/>
    <w:rsid w:val="001B4562"/>
    <w:rsid w:val="001D3394"/>
    <w:rsid w:val="00304A15"/>
    <w:rsid w:val="00444FF9"/>
    <w:rsid w:val="004F099C"/>
    <w:rsid w:val="00507396"/>
    <w:rsid w:val="005460C8"/>
    <w:rsid w:val="005765DA"/>
    <w:rsid w:val="0058694A"/>
    <w:rsid w:val="00626D1F"/>
    <w:rsid w:val="006B4F69"/>
    <w:rsid w:val="00730A6C"/>
    <w:rsid w:val="0080177F"/>
    <w:rsid w:val="00822596"/>
    <w:rsid w:val="008A0CBE"/>
    <w:rsid w:val="008E70CD"/>
    <w:rsid w:val="009174DD"/>
    <w:rsid w:val="00AE6587"/>
    <w:rsid w:val="00BA1DB4"/>
    <w:rsid w:val="00C06BC2"/>
    <w:rsid w:val="00C5188D"/>
    <w:rsid w:val="00C65A33"/>
    <w:rsid w:val="00C9637E"/>
    <w:rsid w:val="00E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A3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5A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5A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5A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5A33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33"/>
  </w:style>
  <w:style w:type="paragraph" w:styleId="Footer">
    <w:name w:val="footer"/>
    <w:basedOn w:val="Normal"/>
    <w:link w:val="FooterChar"/>
    <w:uiPriority w:val="99"/>
    <w:unhideWhenUsed/>
    <w:rsid w:val="00C6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A3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5A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5A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5A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5A33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33"/>
  </w:style>
  <w:style w:type="paragraph" w:styleId="Footer">
    <w:name w:val="footer"/>
    <w:basedOn w:val="Normal"/>
    <w:link w:val="FooterChar"/>
    <w:uiPriority w:val="99"/>
    <w:unhideWhenUsed/>
    <w:rsid w:val="00C6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4D7"/>
            <w:right w:val="none" w:sz="0" w:space="0" w:color="auto"/>
          </w:divBdr>
        </w:div>
        <w:div w:id="1936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642080028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5</dc:creator>
  <cp:lastModifiedBy>comp 5</cp:lastModifiedBy>
  <cp:revision>2</cp:revision>
  <dcterms:created xsi:type="dcterms:W3CDTF">2019-06-30T12:13:00Z</dcterms:created>
  <dcterms:modified xsi:type="dcterms:W3CDTF">2019-06-30T12:13:00Z</dcterms:modified>
</cp:coreProperties>
</file>